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22"/>
        </w:rPr>
        <w:t>Internal AI usage policy</w:t>
      </w:r>
    </w:p>
    <w:p>
      <w:r>
        <w:rPr>
          <w:sz w:val="22"/>
        </w:rPr>
        <w:t>An operating template to adapt and approve before use.</w:t>
      </w:r>
    </w:p>
    <w:p>
      <w:r>
        <w:rPr>
          <w:b/>
          <w:sz w:val="22"/>
        </w:rPr>
        <w:t xml:space="preserve">Company: </w:t>
      </w:r>
      <w:r>
        <w:rPr>
          <w:sz w:val="22"/>
        </w:rPr>
        <w:t>[Company]</w:t>
      </w:r>
      <w:r>
        <w:rPr>
          <w:sz w:val="22"/>
        </w:rPr>
        <w:t xml:space="preserve"> · </w:t>
      </w:r>
      <w:r>
        <w:rPr>
          <w:b/>
          <w:sz w:val="22"/>
        </w:rPr>
        <w:t xml:space="preserve">Owner and contact: </w:t>
      </w:r>
      <w:r>
        <w:rPr>
          <w:sz w:val="22"/>
        </w:rPr>
        <w:t>[Name and channel]</w:t>
      </w:r>
    </w:p>
    <w:p>
      <w:r>
        <w:rPr>
          <w:b/>
          <w:sz w:val="22"/>
        </w:rPr>
        <w:t xml:space="preserve">Effective date: </w:t>
      </w:r>
      <w:r>
        <w:rPr>
          <w:sz w:val="22"/>
        </w:rPr>
        <w:t>[Date]</w:t>
      </w:r>
      <w:r>
        <w:rPr>
          <w:sz w:val="22"/>
        </w:rPr>
        <w:t xml:space="preserve"> · </w:t>
      </w:r>
      <w:r>
        <w:rPr>
          <w:b/>
          <w:sz w:val="22"/>
        </w:rPr>
        <w:t xml:space="preserve">Next review: </w:t>
      </w:r>
      <w:r>
        <w:rPr>
          <w:sz w:val="22"/>
        </w:rPr>
        <w:t>[Date]</w:t>
      </w:r>
    </w:p>
    <w:p>
      <w:r>
        <w:rPr>
          <w:b/>
          <w:sz w:val="22"/>
        </w:rPr>
        <w:t xml:space="preserve">Approved inventory: </w:t>
      </w:r>
      <w:r>
        <w:rPr>
          <w:sz w:val="22"/>
        </w:rPr>
        <w:t>[Link]</w:t>
      </w:r>
      <w:r>
        <w:rPr>
          <w:sz w:val="22"/>
        </w:rPr>
        <w:t xml:space="preserve"> · </w:t>
      </w:r>
      <w:r>
        <w:rPr>
          <w:b/>
          <w:sz w:val="22"/>
        </w:rPr>
        <w:t xml:space="preserve">Approved by: </w:t>
      </w:r>
      <w:r>
        <w:rPr>
          <w:sz w:val="22"/>
        </w:rPr>
        <w:t>[Name and role]</w:t>
      </w:r>
    </w:p>
    <w:p>
      <w:pPr>
        <w:pStyle w:val="Heading2"/>
      </w:pPr>
      <w:r>
        <w:rPr>
          <w:sz w:val="22"/>
        </w:rPr>
        <w:t>1. Tools and tasks</w:t>
      </w:r>
    </w:p>
    <w:p>
      <w:r>
        <w:rPr>
          <w:sz w:val="22"/>
        </w:rPr>
        <w:t>We use the tools and accounts in the inventory only for approved tasks. We request a review before adding a tool, enabling a new feature or changing the data or audience. We do not use personal accounts for internal or customer information.</w:t>
      </w:r>
    </w:p>
    <w:p>
      <w:pPr>
        <w:pStyle w:val="Heading2"/>
      </w:pPr>
      <w:r>
        <w:rPr>
          <w:sz w:val="22"/>
        </w:rPr>
        <w:t>2. Information we may enter</w:t>
      </w:r>
    </w:p>
    <w:p>
      <w:r>
        <w:rPr>
          <w:sz w:val="22"/>
        </w:rPr>
        <w:t>We provide only the information needed and authorised for the task. We do not enter passwords, access keys or other authentication secrets. Personal or confidential data requires specific assessment and approval of the use, account and provider terms. Public availability does not remove restrictions on information.</w:t>
      </w:r>
    </w:p>
    <w:p>
      <w:pPr>
        <w:pStyle w:val="Heading2"/>
      </w:pPr>
      <w:r>
        <w:rPr>
          <w:sz w:val="22"/>
        </w:rPr>
        <w:t>3. Human review</w:t>
      </w:r>
    </w:p>
    <w:p>
      <w:r>
        <w:rPr>
          <w:sz w:val="22"/>
        </w:rPr>
        <w:t>Before work leaves the company or supports a consequential decision, the designated reviewer checks facts, sources, calculations, confidentiality and commitments. If an important point cannot be verified, the reviewer holds the work and consults the owner. Decisions affecting employment, credit, health or rights require specialist assessment before use.</w:t>
      </w:r>
    </w:p>
    <w:p>
      <w:pPr>
        <w:pStyle w:val="Heading2"/>
      </w:pPr>
      <w:r>
        <w:rPr>
          <w:sz w:val="22"/>
        </w:rPr>
        <w:t>4. Disclosure</w:t>
      </w:r>
    </w:p>
    <w:p>
      <w:r>
        <w:rPr>
          <w:sz w:val="22"/>
        </w:rPr>
        <w:t>As an internal rule, we tell customers when they interact directly with AI and disclose synthetic content that could be mistaken for a real person, product or event. We preserve provider markings. The person approving publication also checks which disclosures the law requires for that use.</w:t>
      </w:r>
    </w:p>
    <w:p>
      <w:pPr>
        <w:pStyle w:val="Heading2"/>
      </w:pPr>
      <w:r>
        <w:rPr>
          <w:sz w:val="22"/>
        </w:rPr>
        <w:t>5. Training</w:t>
      </w:r>
    </w:p>
    <w:p>
      <w:r>
        <w:rPr>
          <w:sz w:val="22"/>
        </w:rPr>
        <w:t>We take part in guidance relevant to our tasks: permitted data, common errors, checking outputs and raising concerns. The owner keeps the materials and a participation record, and updates the guidance when the use changes.</w:t>
      </w:r>
    </w:p>
    <w:p>
      <w:pPr>
        <w:pStyle w:val="Heading2"/>
      </w:pPr>
      <w:r>
        <w:rPr>
          <w:sz w:val="22"/>
        </w:rPr>
        <w:t>6. Incidents and changes</w:t>
      </w:r>
    </w:p>
    <w:p>
      <w:r>
        <w:rPr>
          <w:sz w:val="22"/>
        </w:rPr>
        <w:t>If information is sent without authorisation or an error could have consequences, we pause the affected use or distribution and immediately report it through the named channel. We record what happened and the necessary references without repeating confidential information. The owner coordinates the response and reviews this policy after incidents or material changes.</w:t>
      </w:r>
    </w:p>
    <w:p>
      <w:r>
        <w:rPr>
          <w:i/>
          <w:sz w:val="22"/>
        </w:rPr>
        <w:t>This template organises work; it does not establish legal compliance or approve any provider.</w:t>
      </w:r>
    </w:p>
    <w:sectPr w:rsidR="00FC693F" w:rsidRPr="0006063C" w:rsidSect="00034616">
      <w:pgSz w:w="11906" w:h="16838"/>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