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22"/>
        </w:rPr>
        <w:t>Política interna de uso de IA</w:t>
      </w:r>
    </w:p>
    <w:p>
      <w:r>
        <w:rPr>
          <w:sz w:val="22"/>
        </w:rPr>
        <w:t>Plantilla operativa para adaptar y aprobar antes de utilizarla.</w:t>
      </w:r>
    </w:p>
    <w:p>
      <w:r>
        <w:rPr>
          <w:b/>
          <w:sz w:val="22"/>
        </w:rPr>
        <w:t xml:space="preserve">Empresa: </w:t>
      </w:r>
      <w:r>
        <w:rPr>
          <w:sz w:val="22"/>
        </w:rPr>
        <w:t>[Empresa]</w:t>
      </w:r>
      <w:r>
        <w:rPr>
          <w:sz w:val="22"/>
        </w:rPr>
        <w:t xml:space="preserve"> · </w:t>
      </w:r>
      <w:r>
        <w:rPr>
          <w:b/>
          <w:sz w:val="22"/>
        </w:rPr>
        <w:t xml:space="preserve">Responsable y contacto: </w:t>
      </w:r>
      <w:r>
        <w:rPr>
          <w:sz w:val="22"/>
        </w:rPr>
        <w:t>[Nombre y canal]</w:t>
      </w:r>
    </w:p>
    <w:p>
      <w:r>
        <w:rPr>
          <w:b/>
          <w:sz w:val="22"/>
        </w:rPr>
        <w:t xml:space="preserve">Vigencia: </w:t>
      </w:r>
      <w:r>
        <w:rPr>
          <w:sz w:val="22"/>
        </w:rPr>
        <w:t>[Fecha]</w:t>
      </w:r>
      <w:r>
        <w:rPr>
          <w:sz w:val="22"/>
        </w:rPr>
        <w:t xml:space="preserve"> · </w:t>
      </w:r>
      <w:r>
        <w:rPr>
          <w:b/>
          <w:sz w:val="22"/>
        </w:rPr>
        <w:t xml:space="preserve">Próxima revisión: </w:t>
      </w:r>
      <w:r>
        <w:rPr>
          <w:sz w:val="22"/>
        </w:rPr>
        <w:t>[Fecha]</w:t>
      </w:r>
    </w:p>
    <w:p>
      <w:r>
        <w:rPr>
          <w:b/>
          <w:sz w:val="22"/>
        </w:rPr>
        <w:t xml:space="preserve">Inventario autorizado: </w:t>
      </w:r>
      <w:r>
        <w:rPr>
          <w:sz w:val="22"/>
        </w:rPr>
        <w:t>[Enlace]</w:t>
      </w:r>
      <w:r>
        <w:rPr>
          <w:sz w:val="22"/>
        </w:rPr>
        <w:t xml:space="preserve"> · </w:t>
      </w:r>
      <w:r>
        <w:rPr>
          <w:b/>
          <w:sz w:val="22"/>
        </w:rPr>
        <w:t xml:space="preserve">Aprueba: </w:t>
      </w:r>
      <w:r>
        <w:rPr>
          <w:sz w:val="22"/>
        </w:rPr>
        <w:t>[Nombre y cargo]</w:t>
      </w:r>
    </w:p>
    <w:p>
      <w:pPr>
        <w:pStyle w:val="Heading2"/>
      </w:pPr>
      <w:r>
        <w:rPr>
          <w:sz w:val="22"/>
        </w:rPr>
        <w:t>1. Herramientas y tareas</w:t>
      </w:r>
    </w:p>
    <w:p>
      <w:r>
        <w:rPr>
          <w:sz w:val="22"/>
        </w:rPr>
        <w:t>Utilizamos las herramientas y cuentas del inventario únicamente para las tareas aprobadas. Solicitamos revisión antes de añadir una herramienta, activar una función nueva o cambiar los datos o destinatarios. No usamos cuentas personales para información interna o de clientes.</w:t>
      </w:r>
    </w:p>
    <w:p>
      <w:pPr>
        <w:pStyle w:val="Heading2"/>
      </w:pPr>
      <w:r>
        <w:rPr>
          <w:sz w:val="22"/>
        </w:rPr>
        <w:t>2. Información que podemos introducir</w:t>
      </w:r>
    </w:p>
    <w:p>
      <w:r>
        <w:rPr>
          <w:sz w:val="22"/>
        </w:rPr>
        <w:t>Aportamos solo los datos necesarios y autorizados para esa tarea. No introducimos contraseñas, claves de acceso ni otros secretos de autenticación. Los datos personales o confidenciales requieren una evaluación y autorización específicas del uso, la cuenta y las condiciones del proveedor. Que un dato sea público no elimina sus posibles restricciones.</w:t>
      </w:r>
    </w:p>
    <w:p>
      <w:pPr>
        <w:pStyle w:val="Heading2"/>
      </w:pPr>
      <w:r>
        <w:rPr>
          <w:sz w:val="22"/>
        </w:rPr>
        <w:t>3. Revisión humana</w:t>
      </w:r>
    </w:p>
    <w:p>
      <w:r>
        <w:rPr>
          <w:sz w:val="22"/>
        </w:rPr>
        <w:t>Antes de enviar trabajo fuera de la empresa o apoyar una decisión relevante, la persona designada comprueba hechos, fuentes, cálculos, confidencialidad y compromisos asumidos. Si no puede verificar un punto importante, detiene la entrega y consulta al responsable. Las decisiones sobre empleo, crédito, salud o derechos requieren una evaluación especializada previa.</w:t>
      </w:r>
    </w:p>
    <w:p>
      <w:pPr>
        <w:pStyle w:val="Heading2"/>
      </w:pPr>
      <w:r>
        <w:rPr>
          <w:sz w:val="22"/>
        </w:rPr>
        <w:t>4. Transparencia</w:t>
      </w:r>
    </w:p>
    <w:p>
      <w:r>
        <w:rPr>
          <w:sz w:val="22"/>
        </w:rPr>
        <w:t>Como norma interna, avisamos cuando un cliente interactúa directamente con IA y cuando un contenido sintético puede confundirse con una persona, producto o hecho real. Conservamos las marcas del proveedor. Quien autoriza la publicación comprueba también los avisos exigibles al caso por la normativa.</w:t>
      </w:r>
    </w:p>
    <w:p>
      <w:pPr>
        <w:pStyle w:val="Heading2"/>
      </w:pPr>
      <w:r>
        <w:rPr>
          <w:sz w:val="22"/>
        </w:rPr>
        <w:t>5. Formación</w:t>
      </w:r>
    </w:p>
    <w:p>
      <w:r>
        <w:rPr>
          <w:sz w:val="22"/>
        </w:rPr>
        <w:t>Participamos en las orientaciones previstas para nuestra tarea: datos permitidos, errores habituales, comprobación de resultados y comunicación de dudas. El responsable conserva el material utilizado y la constancia de participación, y actualiza las orientaciones cuando cambia el uso.</w:t>
      </w:r>
    </w:p>
    <w:p>
      <w:pPr>
        <w:pStyle w:val="Heading2"/>
      </w:pPr>
      <w:r>
        <w:rPr>
          <w:sz w:val="22"/>
        </w:rPr>
        <w:t>6. Incidencias y cambios</w:t>
      </w:r>
    </w:p>
    <w:p>
      <w:r>
        <w:rPr>
          <w:sz w:val="22"/>
        </w:rPr>
        <w:t>Ante un envío de datos no autorizado o un error con posibles consecuencias, detenemos el uso o la difusión afectados y avisamos de inmediato por el canal indicado. Registramos qué ocurrió y las referencias necesarias sin repetir información confidencial. El responsable coordina la respuesta y revisa esta política después de incidentes o cambios relevantes.</w:t>
      </w:r>
    </w:p>
    <w:p>
      <w:r>
        <w:rPr>
          <w:i/>
          <w:sz w:val="22"/>
        </w:rPr>
        <w:t>Esta plantilla organiza el trabajo; no acredita cumplimiento legal ni preaprueba proveedores.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