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22"/>
        </w:rPr>
        <w:t>Charte interne d’utilisation de l’IA</w:t>
      </w:r>
    </w:p>
    <w:p>
      <w:r>
        <w:rPr>
          <w:sz w:val="22"/>
        </w:rPr>
        <w:t>Modèle d’organisation à adapter et à valider avant utilisation.</w:t>
      </w:r>
    </w:p>
    <w:p>
      <w:r>
        <w:rPr>
          <w:b/>
          <w:sz w:val="22"/>
        </w:rPr>
        <w:t xml:space="preserve">Entreprise : </w:t>
      </w:r>
      <w:r>
        <w:rPr>
          <w:sz w:val="22"/>
        </w:rPr>
        <w:t>[Entreprise]</w:t>
      </w:r>
      <w:r>
        <w:rPr>
          <w:sz w:val="22"/>
        </w:rPr>
        <w:t xml:space="preserve"> · </w:t>
      </w:r>
      <w:r>
        <w:rPr>
          <w:b/>
          <w:sz w:val="22"/>
        </w:rPr>
        <w:t xml:space="preserve">Référent et contact : </w:t>
      </w:r>
      <w:r>
        <w:rPr>
          <w:sz w:val="22"/>
        </w:rPr>
        <w:t>[Nom et canal]</w:t>
      </w:r>
    </w:p>
    <w:p>
      <w:r>
        <w:rPr>
          <w:b/>
          <w:sz w:val="22"/>
        </w:rPr>
        <w:t xml:space="preserve">Entrée en application : </w:t>
      </w:r>
      <w:r>
        <w:rPr>
          <w:sz w:val="22"/>
        </w:rPr>
        <w:t>[Date]</w:t>
      </w:r>
      <w:r>
        <w:rPr>
          <w:sz w:val="22"/>
        </w:rPr>
        <w:t xml:space="preserve"> · </w:t>
      </w:r>
      <w:r>
        <w:rPr>
          <w:b/>
          <w:sz w:val="22"/>
        </w:rPr>
        <w:t xml:space="preserve">Prochaine révision : </w:t>
      </w:r>
      <w:r>
        <w:rPr>
          <w:sz w:val="22"/>
        </w:rPr>
        <w:t>[Date]</w:t>
      </w:r>
    </w:p>
    <w:p>
      <w:r>
        <w:rPr>
          <w:b/>
          <w:sz w:val="22"/>
        </w:rPr>
        <w:t xml:space="preserve">Inventaire autorisé : </w:t>
      </w:r>
      <w:r>
        <w:rPr>
          <w:sz w:val="22"/>
        </w:rPr>
        <w:t>[Lien]</w:t>
      </w:r>
      <w:r>
        <w:rPr>
          <w:sz w:val="22"/>
        </w:rPr>
        <w:t xml:space="preserve"> · </w:t>
      </w:r>
      <w:r>
        <w:rPr>
          <w:b/>
          <w:sz w:val="22"/>
        </w:rPr>
        <w:t xml:space="preserve">Validation : </w:t>
      </w:r>
      <w:r>
        <w:rPr>
          <w:sz w:val="22"/>
        </w:rPr>
        <w:t>[Nom et fonction]</w:t>
      </w:r>
    </w:p>
    <w:p>
      <w:pPr>
        <w:pStyle w:val="Heading2"/>
      </w:pPr>
      <w:r>
        <w:rPr>
          <w:sz w:val="22"/>
        </w:rPr>
        <w:t>1. Outils et usages</w:t>
      </w:r>
    </w:p>
    <w:p>
      <w:r>
        <w:rPr>
          <w:sz w:val="22"/>
        </w:rPr>
        <w:t>Nous utilisons les outils et comptes de l’inventaire pour les seules tâches autorisées. Tout nouvel outil, nouvelle fonction ou changement de données ou de destinataires fait l’objet d’un examen préalable. Nous n’utilisons pas de compte personnel pour les informations internes ou celles des clients.</w:t>
      </w:r>
    </w:p>
    <w:p>
      <w:pPr>
        <w:pStyle w:val="Heading2"/>
      </w:pPr>
      <w:r>
        <w:rPr>
          <w:sz w:val="22"/>
        </w:rPr>
        <w:t>2. Informations à transmettre</w:t>
      </w:r>
    </w:p>
    <w:p>
      <w:r>
        <w:rPr>
          <w:sz w:val="22"/>
        </w:rPr>
        <w:t>Nous transmettons uniquement les données nécessaires et autorisées pour la tâche. Les mots de passe, clés d’accès et autres secrets d’authentification sont exclus. L’utilisation de données personnelles ou confidentielles nécessite une évaluation et une autorisation propres à l’usage, au compte et aux conditions du fournisseur. Une information publique peut rester soumise à des restrictions.</w:t>
      </w:r>
    </w:p>
    <w:p>
      <w:pPr>
        <w:pStyle w:val="Heading2"/>
      </w:pPr>
      <w:r>
        <w:rPr>
          <w:sz w:val="22"/>
        </w:rPr>
        <w:t>3. Validation humaine</w:t>
      </w:r>
    </w:p>
    <w:p>
      <w:r>
        <w:rPr>
          <w:sz w:val="22"/>
        </w:rPr>
        <w:t>Avant toute diffusion externe ou utilisation pour une décision importante, la personne désignée vérifie les faits, sources, calculs, informations confidentielles et engagements pris. Si un point important reste invérifiable, elle suspend la transmission et consulte le référent. Les décisions touchant à l’emploi, au crédit, à la santé ou aux droits nécessitent une évaluation spécialisée préalable.</w:t>
      </w:r>
    </w:p>
    <w:p>
      <w:pPr>
        <w:pStyle w:val="Heading2"/>
      </w:pPr>
      <w:r>
        <w:rPr>
          <w:sz w:val="22"/>
        </w:rPr>
        <w:t>4. Transparence</w:t>
      </w:r>
    </w:p>
    <w:p>
      <w:r>
        <w:rPr>
          <w:sz w:val="22"/>
        </w:rPr>
        <w:t>À titre de règle interne, nous informons les clients lorsqu’ils échangent directement avec une IA et signalons les contenus synthétiques susceptibles d’être pris pour une personne, un produit ou un événement réel. Nous conservons les marquages du fournisseur. La personne qui autorise la publication vérifie aussi les mentions légalement requises pour l’usage concerné.</w:t>
      </w:r>
    </w:p>
    <w:p>
      <w:pPr>
        <w:pStyle w:val="Heading2"/>
      </w:pPr>
      <w:r>
        <w:rPr>
          <w:sz w:val="22"/>
        </w:rPr>
        <w:t>5. Formation</w:t>
      </w:r>
    </w:p>
    <w:p>
      <w:r>
        <w:rPr>
          <w:sz w:val="22"/>
        </w:rPr>
        <w:t>Nous suivons les consignes et formations adaptées à nos tâches : données autorisées, erreurs courantes, vérification des résultats et signalement des difficultés. Le référent conserve les supports et la trace de participation. Il actualise les consignes quand les usages évoluent.</w:t>
      </w:r>
    </w:p>
    <w:p>
      <w:pPr>
        <w:pStyle w:val="Heading2"/>
      </w:pPr>
      <w:r>
        <w:rPr>
          <w:sz w:val="22"/>
        </w:rPr>
        <w:t>6. Incidents et changements</w:t>
      </w:r>
    </w:p>
    <w:p>
      <w:r>
        <w:rPr>
          <w:sz w:val="22"/>
        </w:rPr>
        <w:t>En cas de transmission non autorisée ou d’erreur susceptible d’avoir des conséquences, nous suspendons l’usage ou la diffusion concernés et prévenons immédiatement le référent par le canal indiqué. Nous décrivons les faits et les références utiles sans recopier d’informations confidentielles. Le référent coordonne la réponse et révise cette charte après un incident ou un changement important.</w:t>
      </w:r>
    </w:p>
    <w:p>
      <w:r>
        <w:rPr>
          <w:i/>
          <w:sz w:val="22"/>
        </w:rPr>
        <w:t>Ce modèle organise le travail ; il ne certifie pas la conformité juridique et n’agrée aucun fournisseur.</w:t>
      </w:r>
    </w:p>
    <w:sectPr w:rsidR="00FC693F" w:rsidRPr="0006063C" w:rsidSect="00034616">
      <w:pgSz w:w="11906" w:h="16838"/>
      <w:pgMar w:top="850" w:right="850" w:bottom="85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