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Informe de actividad: ejemplo ficticio, enero-junio de 2026</w:t>
      </w:r>
    </w:p>
    <w:p>
      <w:r>
        <w:t>Ejemplo con datos ficticios; no es un informe de un cliente real.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Mes</w:t>
            </w:r>
          </w:p>
        </w:tc>
        <w:tc>
          <w:tcPr>
            <w:tcW w:type="dxa" w:w="2880"/>
          </w:tcPr>
          <w:p>
            <w:r>
              <w:t>Ventas (€)</w:t>
            </w:r>
          </w:p>
        </w:tc>
        <w:tc>
          <w:tcPr>
            <w:tcW w:type="dxa" w:w="2880"/>
          </w:tcPr>
          <w:p>
            <w:r>
              <w:t>Gastos Operativos (€)</w:t>
            </w:r>
          </w:p>
        </w:tc>
      </w:tr>
      <w:tr>
        <w:tc>
          <w:tcPr>
            <w:tcW w:type="dxa" w:w="2880"/>
          </w:tcPr>
          <w:p>
            <w:r>
              <w:t>2026-01</w:t>
            </w:r>
          </w:p>
        </w:tc>
        <w:tc>
          <w:tcPr>
            <w:tcW w:type="dxa" w:w="2880"/>
          </w:tcPr>
          <w:p>
            <w:r>
              <w:t>18.000,00 €</w:t>
            </w:r>
          </w:p>
        </w:tc>
        <w:tc>
          <w:tcPr>
            <w:tcW w:type="dxa" w:w="2880"/>
          </w:tcPr>
          <w:p>
            <w:r>
              <w:t>14.000,00 €</w:t>
            </w:r>
          </w:p>
        </w:tc>
      </w:tr>
      <w:tr>
        <w:tc>
          <w:tcPr>
            <w:tcW w:type="dxa" w:w="2880"/>
          </w:tcPr>
          <w:p>
            <w:r>
              <w:t>2026-02</w:t>
            </w:r>
          </w:p>
        </w:tc>
        <w:tc>
          <w:tcPr>
            <w:tcW w:type="dxa" w:w="2880"/>
          </w:tcPr>
          <w:p>
            <w:r>
              <w:t>19.000,00 €</w:t>
            </w:r>
          </w:p>
        </w:tc>
        <w:tc>
          <w:tcPr>
            <w:tcW w:type="dxa" w:w="2880"/>
          </w:tcPr>
          <w:p>
            <w:r>
              <w:t>14.200,00 €</w:t>
            </w:r>
          </w:p>
        </w:tc>
      </w:tr>
      <w:tr>
        <w:tc>
          <w:tcPr>
            <w:tcW w:type="dxa" w:w="2880"/>
          </w:tcPr>
          <w:p>
            <w:r>
              <w:t>2026-03</w:t>
            </w:r>
          </w:p>
        </w:tc>
        <w:tc>
          <w:tcPr>
            <w:tcW w:type="dxa" w:w="2880"/>
          </w:tcPr>
          <w:p>
            <w:r>
              <w:t>17.500,00 €</w:t>
            </w:r>
          </w:p>
        </w:tc>
        <w:tc>
          <w:tcPr>
            <w:tcW w:type="dxa" w:w="2880"/>
          </w:tcPr>
          <w:p>
            <w:r>
              <w:t>14.100,00 €</w:t>
            </w:r>
          </w:p>
        </w:tc>
      </w:tr>
      <w:tr>
        <w:tc>
          <w:tcPr>
            <w:tcW w:type="dxa" w:w="2880"/>
          </w:tcPr>
          <w:p>
            <w:r>
              <w:t>2026-04</w:t>
            </w:r>
          </w:p>
        </w:tc>
        <w:tc>
          <w:tcPr>
            <w:tcW w:type="dxa" w:w="2880"/>
          </w:tcPr>
          <w:p>
            <w:r>
              <w:t>21.000,00 €</w:t>
            </w:r>
          </w:p>
        </w:tc>
        <w:tc>
          <w:tcPr>
            <w:tcW w:type="dxa" w:w="2880"/>
          </w:tcPr>
          <w:p>
            <w:r>
              <w:t>14.900,00 €</w:t>
            </w:r>
          </w:p>
        </w:tc>
      </w:tr>
      <w:tr>
        <w:tc>
          <w:tcPr>
            <w:tcW w:type="dxa" w:w="2880"/>
          </w:tcPr>
          <w:p>
            <w:r>
              <w:t>2026-05</w:t>
            </w:r>
          </w:p>
        </w:tc>
        <w:tc>
          <w:tcPr>
            <w:tcW w:type="dxa" w:w="2880"/>
          </w:tcPr>
          <w:p>
            <w:r>
              <w:t>22.500,00 €</w:t>
            </w:r>
          </w:p>
        </w:tc>
        <w:tc>
          <w:tcPr>
            <w:tcW w:type="dxa" w:w="2880"/>
          </w:tcPr>
          <w:p>
            <w:r>
              <w:t>15.300,00 €</w:t>
            </w:r>
          </w:p>
        </w:tc>
      </w:tr>
      <w:tr>
        <w:tc>
          <w:tcPr>
            <w:tcW w:type="dxa" w:w="2880"/>
          </w:tcPr>
          <w:p>
            <w:r>
              <w:t>2026-06</w:t>
            </w:r>
          </w:p>
        </w:tc>
        <w:tc>
          <w:tcPr>
            <w:tcW w:type="dxa" w:w="2880"/>
          </w:tcPr>
          <w:p>
            <w:r>
              <w:t>21.800,00 €</w:t>
            </w:r>
          </w:p>
        </w:tc>
        <w:tc>
          <w:tcPr>
            <w:tcW w:type="dxa" w:w="2880"/>
          </w:tcPr>
          <w:p>
            <w:r>
              <w:t>15.700,00 €</w:t>
            </w:r>
          </w:p>
        </w:tc>
      </w:tr>
    </w:tbl>
    <w:p>
      <w:r>
        <w:br/>
        <w:t>Total Ventas: 119.800,00 €</w:t>
      </w:r>
    </w:p>
    <w:p>
      <w:r>
        <w:t>Total Gastos Operativos: 88.200,00 €</w:t>
      </w:r>
    </w:p>
    <w:p>
      <w:r>
        <w:t>Diferencia aritmética: 31.600,00 €</w:t>
      </w:r>
    </w:p>
    <w:p>
      <w:pPr>
        <w:pStyle w:val="Heading1"/>
      </w:pPr>
      <w:r>
        <w:t>Comparación de junio con mayo</w:t>
      </w:r>
    </w:p>
    <w:p>
      <w:r>
        <w:t>Las ventas pasan de 22.500,00 € en mayo a 21.800,00 € en junio, una disminución de 700,00 €. Los gastos operativos pasan de 15.300,00 € a 15.700,00 €, un aumento de 400,00 €. La diferencia aritmética entre ventas y gastos operativos pasa de 7.200,00 € a 6.100,00 €, una reducción de 1.100,00 €. El archivo no permite determinar las causas de estas variaciones.</w:t>
      </w:r>
    </w:p>
    <w:p>
      <w:pPr>
        <w:pStyle w:val="Heading1"/>
      </w:pPr>
      <w:r>
        <w:t>Preguntas para la reunión</w:t>
      </w:r>
    </w:p>
    <w:p>
      <w:r>
        <w:t>1. ¿A qué factores atribuye la variación observada en las ventas entre mayo y junio?</w:t>
      </w:r>
    </w:p>
    <w:p>
      <w:r>
        <w:t>2. ¿Existen cambios operativos planificados para el próximo trimestre?</w:t>
      </w:r>
    </w:p>
    <w:p>
      <w:r>
        <w:t>3. ¿Cómo planea ajustar la estructura de gastos operativos ante las fluctuaciones de actividad?</w:t>
      </w:r>
    </w:p>
    <w:p>
      <w:r>
        <w:br/>
        <w:t>NOTA: Este informe excluye impuestos, amortizaciones, existencias, cobros y pagos, por lo que la diferencia aritmética no representa beneficio, tesorería ni saldo bancario.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